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701E" w:rsidRDefault="00921A7C">
      <w:pPr>
        <w:spacing w:after="212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  <w:color w:val="008080"/>
          <w:sz w:val="20"/>
        </w:rPr>
        <w:t xml:space="preserve"> </w:t>
      </w:r>
    </w:p>
    <w:p w:rsidR="00F7701E" w:rsidRDefault="00921A7C">
      <w:pPr>
        <w:spacing w:after="0"/>
        <w:ind w:right="95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F7701E" w:rsidRDefault="00921A7C">
      <w:pPr>
        <w:spacing w:after="0"/>
        <w:ind w:left="2079" w:hanging="10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D2693E">
        <w:rPr>
          <w:rFonts w:ascii="Corbel" w:eastAsia="Corbel" w:hAnsi="Corbel" w:cs="Corbel"/>
          <w:i/>
          <w:sz w:val="24"/>
        </w:rPr>
        <w:t>202</w:t>
      </w:r>
      <w:r>
        <w:rPr>
          <w:rFonts w:ascii="Corbel" w:eastAsia="Corbel" w:hAnsi="Corbel" w:cs="Corbel"/>
          <w:i/>
          <w:sz w:val="24"/>
        </w:rPr>
        <w:t>1-2024</w:t>
      </w:r>
      <w:bookmarkStart w:id="0" w:name="_GoBack"/>
      <w:bookmarkEnd w:id="0"/>
    </w:p>
    <w:p w:rsidR="00F7701E" w:rsidRDefault="00921A7C">
      <w:pPr>
        <w:spacing w:after="49" w:line="228" w:lineRule="auto"/>
        <w:ind w:right="3362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pStyle w:val="Nagwek1"/>
        <w:ind w:left="-5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sz w:val="24"/>
        </w:rPr>
        <w:t xml:space="preserve"> </w:t>
      </w:r>
    </w:p>
    <w:tbl>
      <w:tblPr>
        <w:tblStyle w:val="TableGrid"/>
        <w:tblW w:w="9813" w:type="dxa"/>
        <w:tblInd w:w="-156" w:type="dxa"/>
        <w:tblCellMar>
          <w:top w:w="21" w:type="dxa"/>
          <w:left w:w="5" w:type="dxa"/>
          <w:bottom w:w="0" w:type="dxa"/>
          <w:right w:w="34" w:type="dxa"/>
        </w:tblCellMar>
        <w:tblLook w:val="04A0" w:firstRow="1" w:lastRow="0" w:firstColumn="1" w:lastColumn="0" w:noHBand="0" w:noVBand="1"/>
      </w:tblPr>
      <w:tblGrid>
        <w:gridCol w:w="2693"/>
        <w:gridCol w:w="7120"/>
      </w:tblGrid>
      <w:tr w:rsidR="00F7701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20"/>
              </w:rPr>
              <w:t xml:space="preserve">Wprowadzenie  do nauki o komunikacji międzykulturowej </w:t>
            </w:r>
          </w:p>
        </w:tc>
      </w:tr>
      <w:tr w:rsidR="00F7701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49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Humanistyczne </w:t>
            </w:r>
          </w:p>
        </w:tc>
      </w:tr>
      <w:tr w:rsidR="00F7701E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Instytut Filozofii </w:t>
            </w:r>
          </w:p>
        </w:tc>
      </w:tr>
      <w:tr w:rsidR="00F7701E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F7701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Licencjacki </w:t>
            </w:r>
          </w:p>
        </w:tc>
      </w:tr>
      <w:tr w:rsidR="00F7701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7701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I, zimowy </w:t>
            </w:r>
          </w:p>
        </w:tc>
      </w:tr>
      <w:tr w:rsidR="00F7701E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Specjalizacyjny </w:t>
            </w:r>
          </w:p>
        </w:tc>
      </w:tr>
      <w:tr w:rsidR="00F7701E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F7701E">
        <w:trPr>
          <w:trHeight w:val="47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Romana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Kolarzowa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dr hab. prof.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URz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F7701E">
        <w:trPr>
          <w:trHeight w:val="8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Arial" w:eastAsia="Arial" w:hAnsi="Arial" w:cs="Arial"/>
                <w:sz w:val="20"/>
              </w:rPr>
              <w:t xml:space="preserve">Romana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Kolarzowa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dr hab. prof.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URz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F7701E" w:rsidRDefault="00921A7C">
      <w:pPr>
        <w:spacing w:after="257"/>
        <w:ind w:left="35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 xml:space="preserve">zgodnie z ustaleniami na Wydziale </w:t>
      </w:r>
    </w:p>
    <w:p w:rsidR="00F7701E" w:rsidRDefault="00921A7C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pStyle w:val="Nagwek2"/>
        <w:spacing w:after="5" w:line="250" w:lineRule="auto"/>
        <w:ind w:left="370" w:hanging="10"/>
      </w:pPr>
      <w:r>
        <w:rPr>
          <w:b/>
          <w:u w:val="none"/>
        </w:rPr>
        <w:t xml:space="preserve">1.1.Formy zajęć dydaktycznych, wymiar godzin i punktów ECTS  </w:t>
      </w:r>
    </w:p>
    <w:p w:rsidR="00F7701E" w:rsidRDefault="00921A7C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0" w:type="dxa"/>
        <w:tblInd w:w="-122" w:type="dxa"/>
        <w:tblCellMar>
          <w:top w:w="54" w:type="dxa"/>
          <w:left w:w="0" w:type="dxa"/>
          <w:bottom w:w="0" w:type="dxa"/>
          <w:right w:w="6" w:type="dxa"/>
        </w:tblCellMar>
        <w:tblLook w:val="04A0" w:firstRow="1" w:lastRow="0" w:firstColumn="1" w:lastColumn="0" w:noHBand="0" w:noVBand="1"/>
      </w:tblPr>
      <w:tblGrid>
        <w:gridCol w:w="1046"/>
        <w:gridCol w:w="922"/>
        <w:gridCol w:w="802"/>
        <w:gridCol w:w="853"/>
        <w:gridCol w:w="809"/>
        <w:gridCol w:w="828"/>
        <w:gridCol w:w="780"/>
        <w:gridCol w:w="958"/>
        <w:gridCol w:w="1205"/>
        <w:gridCol w:w="1577"/>
      </w:tblGrid>
      <w:tr w:rsidR="00F7701E">
        <w:trPr>
          <w:trHeight w:val="835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96"/>
              <w:ind w:left="1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7701E" w:rsidRDefault="00921A7C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80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10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87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5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8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5"/>
              <w:jc w:val="both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</w:t>
            </w:r>
          </w:p>
          <w:p w:rsidR="00F7701E" w:rsidRDefault="00921A7C">
            <w:pPr>
              <w:spacing w:after="0"/>
              <w:ind w:left="-7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7701E" w:rsidRDefault="00921A7C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ECTS </w:t>
            </w:r>
          </w:p>
        </w:tc>
      </w:tr>
      <w:tr w:rsidR="00F7701E">
        <w:trPr>
          <w:trHeight w:val="46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 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5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F7701E" w:rsidRDefault="00921A7C">
      <w:pPr>
        <w:spacing w:after="2"/>
        <w:ind w:left="36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F7701E" w:rsidRDefault="00921A7C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tabs>
          <w:tab w:val="center" w:pos="1864"/>
        </w:tabs>
        <w:spacing w:after="5" w:line="250" w:lineRule="auto"/>
        <w:ind w:left="-15"/>
      </w:pPr>
      <w:r>
        <w:rPr>
          <w:rFonts w:ascii="Corbel" w:eastAsia="Corbel" w:hAnsi="Corbel" w:cs="Corbel"/>
          <w:b/>
          <w:sz w:val="24"/>
        </w:rPr>
        <w:t xml:space="preserve">1.2. 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 </w:t>
      </w:r>
    </w:p>
    <w:p w:rsidR="00F7701E" w:rsidRDefault="00921A7C">
      <w:pPr>
        <w:pStyle w:val="Nagwek2"/>
      </w:pPr>
      <w:r>
        <w:rPr>
          <w:rFonts w:ascii="MS Gothic" w:eastAsia="MS Gothic" w:hAnsi="MS Gothic" w:cs="MS Gothic"/>
          <w:u w:val="none"/>
        </w:rPr>
        <w:t>☐</w:t>
      </w:r>
      <w:r>
        <w:rPr>
          <w:u w:val="none"/>
        </w:rPr>
        <w:t xml:space="preserve"> </w:t>
      </w:r>
      <w:r>
        <w:t>zajęcia w formie tradycyjnej</w:t>
      </w:r>
      <w:r>
        <w:rPr>
          <w:u w:val="none"/>
        </w:rPr>
        <w:t xml:space="preserve">  </w:t>
      </w:r>
    </w:p>
    <w:p w:rsidR="00F7701E" w:rsidRDefault="00921A7C">
      <w:pPr>
        <w:spacing w:after="12" w:line="250" w:lineRule="auto"/>
        <w:ind w:left="-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1.3  Forma zaliczenia przedmiotu /modułu (z toku) </w:t>
      </w:r>
      <w:r>
        <w:rPr>
          <w:rFonts w:ascii="Corbel" w:eastAsia="Corbel" w:hAnsi="Corbel" w:cs="Corbel"/>
          <w:sz w:val="24"/>
        </w:rPr>
        <w:t>(egzamin,</w:t>
      </w:r>
      <w:r>
        <w:rPr>
          <w:rFonts w:ascii="Corbel" w:eastAsia="Corbel" w:hAnsi="Corbel" w:cs="Corbel"/>
          <w:sz w:val="24"/>
          <w:u w:val="single" w:color="000000"/>
        </w:rPr>
        <w:t xml:space="preserve"> 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7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7701E" w:rsidRDefault="00921A7C">
      <w:pPr>
        <w:pStyle w:val="Nagwek1"/>
        <w:ind w:left="-5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33" w:line="264" w:lineRule="auto"/>
        <w:ind w:left="17" w:hanging="10"/>
      </w:pPr>
      <w:r>
        <w:rPr>
          <w:rFonts w:ascii="Arial" w:eastAsia="Arial" w:hAnsi="Arial" w:cs="Arial"/>
          <w:sz w:val="20"/>
        </w:rPr>
        <w:t xml:space="preserve">podstawowa wiedza z zakresu historii kultury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8"/>
        <w:ind w:left="7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0"/>
        <w:ind w:left="7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17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2"/>
        <w:spacing w:after="0"/>
        <w:ind w:left="-5" w:hanging="10"/>
      </w:pPr>
      <w:r>
        <w:rPr>
          <w:b/>
          <w:u w:val="none"/>
        </w:rPr>
        <w:t>3.</w:t>
      </w:r>
      <w:r>
        <w:rPr>
          <w:b/>
          <w:sz w:val="19"/>
          <w:u w:val="none"/>
        </w:rPr>
        <w:t xml:space="preserve"> CELE</w:t>
      </w:r>
      <w:r>
        <w:rPr>
          <w:b/>
          <w:u w:val="none"/>
        </w:rPr>
        <w:t>,</w:t>
      </w:r>
      <w:r>
        <w:rPr>
          <w:b/>
          <w:sz w:val="19"/>
          <w:u w:val="none"/>
        </w:rPr>
        <w:t xml:space="preserve"> EFEKTY KSZTAŁCENIA </w:t>
      </w:r>
      <w:r>
        <w:rPr>
          <w:b/>
          <w:u w:val="none"/>
        </w:rPr>
        <w:t>,</w:t>
      </w:r>
      <w:r>
        <w:rPr>
          <w:b/>
          <w:sz w:val="19"/>
          <w:u w:val="none"/>
        </w:rPr>
        <w:t xml:space="preserve"> TREŚCI </w:t>
      </w:r>
      <w:r>
        <w:rPr>
          <w:b/>
          <w:u w:val="none"/>
        </w:rPr>
        <w:t>P</w:t>
      </w:r>
      <w:r>
        <w:rPr>
          <w:b/>
          <w:sz w:val="19"/>
          <w:u w:val="none"/>
        </w:rPr>
        <w:t xml:space="preserve">ROGRAMOWE I STOSOWANE METODY </w:t>
      </w:r>
      <w:r>
        <w:rPr>
          <w:b/>
          <w:u w:val="none"/>
        </w:rPr>
        <w:t>D</w:t>
      </w:r>
      <w:r>
        <w:rPr>
          <w:b/>
          <w:sz w:val="19"/>
          <w:u w:val="none"/>
        </w:rPr>
        <w:t>YDAKTYCZNE</w:t>
      </w:r>
      <w:r>
        <w:rPr>
          <w:b/>
          <w:u w:val="none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pStyle w:val="Nagwek3"/>
        <w:ind w:left="370" w:right="0"/>
      </w:pPr>
      <w:r>
        <w:t xml:space="preserve">3.1 Cele przedmiotu/modułu  </w:t>
      </w:r>
    </w:p>
    <w:p w:rsidR="00F7701E" w:rsidRDefault="00921A7C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703" w:type="dxa"/>
        <w:tblInd w:w="0" w:type="dxa"/>
        <w:tblCellMar>
          <w:top w:w="49" w:type="dxa"/>
          <w:left w:w="5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852"/>
        <w:gridCol w:w="8851"/>
      </w:tblGrid>
      <w:tr w:rsidR="00F7701E">
        <w:trPr>
          <w:trHeight w:val="106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Zajęcia te mają umożliwić rozumienie współczesnych przekazów kulturowych z różnych obszarów życia społecznego, zarówno na poziomie uczestnictwa w komunikacji, jak i na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metapoziomie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(analizy przekazu). Ma uwra</w:t>
            </w:r>
            <w:r>
              <w:rPr>
                <w:rFonts w:ascii="Arial" w:eastAsia="Arial" w:hAnsi="Arial" w:cs="Arial"/>
                <w:sz w:val="20"/>
              </w:rPr>
              <w:t xml:space="preserve">żliwić na rozpoznawanie schematów poznawczych i stereotypów; a także strategii komunikacyjnych. Celem finalnym jest: </w:t>
            </w:r>
          </w:p>
        </w:tc>
      </w:tr>
      <w:tr w:rsidR="00F7701E">
        <w:trPr>
          <w:trHeight w:val="54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156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dostarczenie słuchaczom narzędzi, pomagających w osiągnięciu większej transparentności komunikacyjnej; </w:t>
            </w:r>
          </w:p>
        </w:tc>
      </w:tr>
      <w:tr w:rsidR="00F7701E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7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rozpoznawanie strategii komunikacyjnych, stosowanych w różnych dziedzinach  życia społecznego </w:t>
            </w:r>
          </w:p>
        </w:tc>
      </w:tr>
      <w:tr w:rsidR="00F7701E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5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rozróżnianie treści merytorycznych i ideologicznych </w:t>
            </w:r>
          </w:p>
        </w:tc>
      </w:tr>
      <w:tr w:rsidR="00F7701E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7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jc w:val="both"/>
            </w:pPr>
            <w:r>
              <w:rPr>
                <w:rFonts w:ascii="Arial" w:eastAsia="Arial" w:hAnsi="Arial" w:cs="Arial"/>
                <w:sz w:val="20"/>
              </w:rPr>
              <w:t xml:space="preserve">rozpoznawanie technik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manipoulacji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występuhjących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na różnych poziomach dyskursu społecznego</w:t>
            </w:r>
          </w:p>
        </w:tc>
      </w:tr>
      <w:tr w:rsidR="00F7701E">
        <w:trPr>
          <w:trHeight w:val="3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6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umiejętność formułowania własnych opinii i poglądów </w:t>
            </w:r>
          </w:p>
        </w:tc>
      </w:tr>
      <w:tr w:rsidR="00F7701E">
        <w:trPr>
          <w:trHeight w:val="38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7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C6 </w:t>
            </w:r>
          </w:p>
        </w:tc>
        <w:tc>
          <w:tcPr>
            <w:tcW w:w="8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umiejętność czytelnego ich przekazu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3"/>
        <w:ind w:left="-5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703" w:type="dxa"/>
        <w:tblInd w:w="0" w:type="dxa"/>
        <w:tblCellMar>
          <w:top w:w="47" w:type="dxa"/>
          <w:left w:w="0" w:type="dxa"/>
          <w:bottom w:w="0" w:type="dxa"/>
          <w:right w:w="2" w:type="dxa"/>
        </w:tblCellMar>
        <w:tblLook w:val="04A0" w:firstRow="1" w:lastRow="0" w:firstColumn="1" w:lastColumn="0" w:noHBand="0" w:noVBand="1"/>
      </w:tblPr>
      <w:tblGrid>
        <w:gridCol w:w="1702"/>
        <w:gridCol w:w="6097"/>
        <w:gridCol w:w="1904"/>
      </w:tblGrid>
      <w:tr w:rsidR="00F7701E">
        <w:trPr>
          <w:trHeight w:val="1184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righ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F7701E" w:rsidRDefault="00921A7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3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F7701E" w:rsidRDefault="00921A7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(KEK) </w:t>
            </w:r>
          </w:p>
        </w:tc>
      </w:tr>
      <w:tr w:rsidR="00F7701E">
        <w:trPr>
          <w:trHeight w:val="636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EK_01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295" w:line="235" w:lineRule="auto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uporządkowaną wiedzę podstawową z zakresu bloków i zagadnień dotyczących komunikacji międzykulturowej:   </w:t>
            </w:r>
          </w:p>
          <w:p w:rsidR="00F7701E" w:rsidRDefault="00921A7C">
            <w:pPr>
              <w:spacing w:after="268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1)wiedzy o kulturze </w:t>
            </w:r>
          </w:p>
          <w:p w:rsidR="00F7701E" w:rsidRDefault="00921A7C">
            <w:pPr>
              <w:spacing w:after="266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2)wiedzy o komunikacji  </w:t>
            </w:r>
          </w:p>
          <w:p w:rsidR="00F7701E" w:rsidRDefault="00921A7C">
            <w:pPr>
              <w:spacing w:after="268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>3)</w:t>
            </w:r>
            <w:r>
              <w:rPr>
                <w:rFonts w:ascii="Times New Roman" w:eastAsia="Times New Roman" w:hAnsi="Times New Roman" w:cs="Times New Roman"/>
                <w:sz w:val="23"/>
              </w:rPr>
              <w:t xml:space="preserve">elementów filozofii i krytycznego myślenia </w:t>
            </w:r>
          </w:p>
          <w:p w:rsidR="00F7701E" w:rsidRDefault="00921A7C">
            <w:pPr>
              <w:spacing w:after="271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:rsidR="00F7701E" w:rsidRDefault="00921A7C">
            <w:pPr>
              <w:spacing w:after="295" w:line="235" w:lineRule="auto"/>
              <w:ind w:left="5"/>
              <w:jc w:val="both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wiedzę o podstawowych  metodach  analizy i interpretacji różnych wytworów kultury__H1A_W07  </w:t>
            </w:r>
          </w:p>
          <w:p w:rsidR="00F7701E" w:rsidRDefault="00921A7C">
            <w:pPr>
              <w:spacing w:after="271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:rsidR="00F7701E" w:rsidRDefault="00921A7C">
            <w:pPr>
              <w:spacing w:after="293" w:line="235" w:lineRule="auto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ma wiedzę o historycznych zmianach instytucji </w:t>
            </w:r>
            <w:proofErr w:type="spellStart"/>
            <w:r>
              <w:rPr>
                <w:rFonts w:ascii="Times New Roman" w:eastAsia="Times New Roman" w:hAnsi="Times New Roman" w:cs="Times New Roman"/>
                <w:sz w:val="23"/>
              </w:rPr>
              <w:t>społeczno</w:t>
            </w:r>
            <w:proofErr w:type="spellEnd"/>
            <w:r>
              <w:rPr>
                <w:rFonts w:ascii="Times New Roman" w:eastAsia="Times New Roman" w:hAnsi="Times New Roman" w:cs="Times New Roman"/>
                <w:sz w:val="23"/>
              </w:rPr>
              <w:t xml:space="preserve"> – kulturowych__S1A_W08  </w:t>
            </w:r>
          </w:p>
          <w:p w:rsidR="00F7701E" w:rsidRDefault="00921A7C">
            <w:pPr>
              <w:spacing w:after="268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193"/>
              <w:ind w:left="-6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K_W03;.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12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-5"/>
            </w:pPr>
            <w:r>
              <w:rPr>
                <w:rFonts w:ascii="Times New Roman" w:eastAsia="Times New Roman" w:hAnsi="Times New Roman" w:cs="Times New Roman"/>
                <w:sz w:val="35"/>
                <w:vertAlign w:val="subscript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 xml:space="preserve">K_W06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F7701E" w:rsidRDefault="00921A7C">
            <w:pPr>
              <w:spacing w:after="0"/>
              <w:ind w:left="5"/>
            </w:pPr>
            <w:r>
              <w:rPr>
                <w:rFonts w:ascii="Arial" w:eastAsia="Arial" w:hAnsi="Arial" w:cs="Arial"/>
                <w:sz w:val="20"/>
              </w:rPr>
              <w:t xml:space="preserve">K_W11 </w:t>
            </w:r>
          </w:p>
        </w:tc>
      </w:tr>
      <w:tr w:rsidR="00F7701E">
        <w:trPr>
          <w:trHeight w:val="163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F7701E"/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266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:rsidR="00F7701E" w:rsidRDefault="00921A7C">
            <w:pPr>
              <w:spacing w:after="271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F7701E"/>
        </w:tc>
      </w:tr>
      <w:tr w:rsidR="00F7701E">
        <w:trPr>
          <w:trHeight w:val="247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7701E" w:rsidRDefault="00921A7C">
            <w:pPr>
              <w:spacing w:after="239" w:line="357" w:lineRule="auto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rozpoznać, zinterpretować i analizować krytycznie  różne rodzaje wytworów kultury i określić  ich rangę w procesie komunikacji międzykulturowej__H1A_U05 </w:t>
            </w:r>
          </w:p>
          <w:p w:rsidR="00F7701E" w:rsidRDefault="00921A7C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3"/>
              </w:rPr>
              <w:t>potrafi prezentować  podstawowe problemy związane z dziedzinami  dotyczącymi komunikacji międzykulturowej</w:t>
            </w:r>
            <w:r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98"/>
            </w:pPr>
            <w:r>
              <w:rPr>
                <w:rFonts w:ascii="Arial" w:eastAsia="Arial" w:hAnsi="Arial" w:cs="Arial"/>
                <w:sz w:val="20"/>
              </w:rPr>
              <w:t xml:space="preserve">K_U05;  </w:t>
            </w:r>
          </w:p>
          <w:p w:rsidR="00F7701E" w:rsidRDefault="00921A7C">
            <w:pPr>
              <w:spacing w:after="0" w:line="362" w:lineRule="auto"/>
              <w:ind w:right="1771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K_U09. </w:t>
            </w:r>
          </w:p>
        </w:tc>
      </w:tr>
      <w:tr w:rsidR="00F7701E">
        <w:trPr>
          <w:trHeight w:val="99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249"/>
            </w:pPr>
            <w:r>
              <w:rPr>
                <w:rFonts w:ascii="Times New Roman" w:eastAsia="Times New Roman" w:hAnsi="Times New Roman" w:cs="Times New Roman"/>
                <w:sz w:val="23"/>
              </w:rPr>
              <w:t xml:space="preserve">potrafi kooperować </w:t>
            </w:r>
          </w:p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185"/>
            </w:pPr>
            <w:r>
              <w:rPr>
                <w:rFonts w:ascii="Arial" w:eastAsia="Arial" w:hAnsi="Arial" w:cs="Arial"/>
                <w:sz w:val="20"/>
              </w:rPr>
              <w:t xml:space="preserve">K_K02;  </w:t>
            </w:r>
          </w:p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3"/>
        <w:spacing w:after="188"/>
        <w:ind w:left="730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 xml:space="preserve">wypełnia koordynator) </w:t>
      </w:r>
    </w:p>
    <w:p w:rsidR="00F7701E" w:rsidRDefault="00921A7C">
      <w:pPr>
        <w:numPr>
          <w:ilvl w:val="0"/>
          <w:numId w:val="1"/>
        </w:numPr>
        <w:spacing w:after="106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F7701E" w:rsidRDefault="00921A7C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3" w:type="dxa"/>
          <w:left w:w="368" w:type="dxa"/>
          <w:bottom w:w="0" w:type="dxa"/>
          <w:right w:w="209" w:type="dxa"/>
        </w:tblCellMar>
        <w:tblLook w:val="04A0" w:firstRow="1" w:lastRow="0" w:firstColumn="1" w:lastColumn="0" w:noHBand="0" w:noVBand="1"/>
      </w:tblPr>
      <w:tblGrid>
        <w:gridCol w:w="9672"/>
      </w:tblGrid>
      <w:tr w:rsidR="00F7701E">
        <w:trPr>
          <w:trHeight w:val="302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F7701E">
        <w:trPr>
          <w:trHeight w:val="47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t xml:space="preserve">1. Główne koncepcje relacji społecznych jako wymiany informacji; Związki pomiędzy tożsamością grupową a preferowanymi strategiami komunikacyjnymi;  </w:t>
            </w:r>
          </w:p>
        </w:tc>
      </w:tr>
      <w:tr w:rsidR="00F7701E">
        <w:trPr>
          <w:trHeight w:val="701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2. Sposoby 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kostruowania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zbiorowych tożsamości: reguły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odróżnoalności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</w:t>
            </w:r>
            <w:r>
              <w:rPr>
                <w:rFonts w:ascii="Arial" w:eastAsia="Arial" w:hAnsi="Arial" w:cs="Arial"/>
                <w:i/>
                <w:sz w:val="20"/>
              </w:rPr>
              <w:t>narcyzm małych różnic</w:t>
            </w:r>
            <w:r>
              <w:rPr>
                <w:rFonts w:ascii="Arial" w:eastAsia="Arial" w:hAnsi="Arial" w:cs="Arial"/>
                <w:sz w:val="20"/>
              </w:rPr>
              <w:t xml:space="preserve">;  znaczenie artefaktów dla zrozumienia procesów komunikacyjnych oraz ich ograniczeń  przez społeczne tabu .  </w:t>
            </w:r>
          </w:p>
        </w:tc>
      </w:tr>
      <w:tr w:rsidR="00F7701E">
        <w:trPr>
          <w:trHeight w:val="47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t xml:space="preserve">3. Praktyczne metody interpretacji rozmaitych typów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dyskurów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właściwej im  skuteczności przekazu (wątki symboliczne, kody</w:t>
            </w:r>
            <w:r>
              <w:rPr>
                <w:rFonts w:ascii="Arial" w:eastAsia="Arial" w:hAnsi="Arial" w:cs="Arial"/>
                <w:sz w:val="20"/>
              </w:rPr>
              <w:t xml:space="preserve"> ekspresyjne); </w:t>
            </w:r>
          </w:p>
        </w:tc>
      </w:tr>
      <w:tr w:rsidR="00F7701E">
        <w:trPr>
          <w:trHeight w:val="47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t xml:space="preserve">4. Rzeczywistość społeczna jako „teatr życia codziennego”: indywidualna i  zbiorowa autokreacja. Znaczenie elementów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aracjonalnych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; czynniki afektywne w procesach komunikacji </w:t>
            </w:r>
          </w:p>
        </w:tc>
      </w:tr>
      <w:tr w:rsidR="00F7701E">
        <w:trPr>
          <w:trHeight w:val="468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  <w:jc w:val="both"/>
            </w:pPr>
            <w:r>
              <w:rPr>
                <w:rFonts w:ascii="Arial" w:eastAsia="Arial" w:hAnsi="Arial" w:cs="Arial"/>
                <w:sz w:val="20"/>
              </w:rPr>
              <w:t>5. Zasady  organizowania dyskursu wewnętrznego. Znaczenie regu</w:t>
            </w:r>
            <w:r>
              <w:rPr>
                <w:rFonts w:ascii="Arial" w:eastAsia="Arial" w:hAnsi="Arial" w:cs="Arial"/>
                <w:sz w:val="20"/>
              </w:rPr>
              <w:t xml:space="preserve">ł ukrytych dla komunikacji kulturowej; o odróżnialności reguł ukrytych od systemów tabu;  </w:t>
            </w:r>
          </w:p>
        </w:tc>
      </w:tr>
      <w:tr w:rsidR="00F7701E">
        <w:trPr>
          <w:trHeight w:val="47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t xml:space="preserve">6. Niezbędność mitów i symboli w procesach społecznych. Koncepcje   komunikacyjnych funkcji i  znaczenia   fantazmatów kulturowych </w:t>
            </w:r>
          </w:p>
        </w:tc>
      </w:tr>
      <w:tr w:rsidR="00F7701E">
        <w:trPr>
          <w:trHeight w:val="470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360" w:hanging="360"/>
            </w:pPr>
            <w:r>
              <w:rPr>
                <w:rFonts w:ascii="Arial" w:eastAsia="Arial" w:hAnsi="Arial" w:cs="Arial"/>
                <w:sz w:val="20"/>
              </w:rPr>
              <w:t xml:space="preserve">7. Narracje symboliczne – </w:t>
            </w:r>
            <w:r>
              <w:rPr>
                <w:rFonts w:ascii="Arial" w:eastAsia="Arial" w:hAnsi="Arial" w:cs="Arial"/>
                <w:sz w:val="20"/>
              </w:rPr>
              <w:t xml:space="preserve">sztuka czytania mitów historycznych i współczesnych. Mitologie i mistyfikacje konfliktów społecznych. Wypieranie i fetyszyzacja sytuacji konfliktowych. </w:t>
            </w:r>
          </w:p>
        </w:tc>
      </w:tr>
    </w:tbl>
    <w:p w:rsidR="00F7701E" w:rsidRDefault="00921A7C">
      <w:pPr>
        <w:spacing w:after="0"/>
      </w:pPr>
      <w:r>
        <w:t xml:space="preserve"> </w:t>
      </w:r>
    </w:p>
    <w:p w:rsidR="00F7701E" w:rsidRDefault="00921A7C">
      <w:pPr>
        <w:numPr>
          <w:ilvl w:val="0"/>
          <w:numId w:val="1"/>
        </w:numPr>
        <w:spacing w:after="192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F7701E" w:rsidRDefault="00921A7C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72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72"/>
      </w:tblGrid>
      <w:tr w:rsidR="00F7701E">
        <w:trPr>
          <w:trHeight w:val="302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F7701E">
        <w:trPr>
          <w:trHeight w:val="598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1. Opanowanie podstawowych zasad  rozpoznawania typów kultury i adekwatnych sposobów postępowania. Rozróżnianie artefaktów, ich rangi i znaczeń. </w:t>
            </w:r>
          </w:p>
        </w:tc>
      </w:tr>
      <w:tr w:rsidR="00F7701E">
        <w:trPr>
          <w:trHeight w:val="59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2. Podstawowe kompetencje, związane z ekspresją emocjonalną, jej znaczeniem  w różnych </w:t>
            </w:r>
            <w:r>
              <w:rPr>
                <w:rFonts w:ascii="Corbel" w:eastAsia="Corbel" w:hAnsi="Corbel" w:cs="Corbel"/>
                <w:sz w:val="24"/>
              </w:rPr>
              <w:t xml:space="preserve">kulturach  i właściwych formach. </w:t>
            </w:r>
          </w:p>
        </w:tc>
      </w:tr>
      <w:tr w:rsidR="00F7701E">
        <w:trPr>
          <w:trHeight w:val="305"/>
        </w:trPr>
        <w:tc>
          <w:tcPr>
            <w:tcW w:w="9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3"/>
        <w:ind w:left="-5" w:right="0"/>
      </w:pPr>
      <w:r>
        <w:t>3.4 Metody dydaktyczne</w:t>
      </w:r>
      <w:r>
        <w:rPr>
          <w:b w:val="0"/>
        </w:rPr>
        <w:t xml:space="preserve">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F7701E" w:rsidRDefault="00921A7C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</w:t>
      </w:r>
      <w:r>
        <w:rPr>
          <w:rFonts w:ascii="Corbel" w:eastAsia="Corbel" w:hAnsi="Corbel" w:cs="Corbel"/>
          <w:i/>
          <w:sz w:val="20"/>
          <w:u w:val="single" w:color="000000"/>
        </w:rPr>
        <w:t>wykład problemowy</w:t>
      </w:r>
      <w:r>
        <w:rPr>
          <w:rFonts w:ascii="Corbel" w:eastAsia="Corbel" w:hAnsi="Corbel" w:cs="Corbel"/>
          <w:i/>
          <w:sz w:val="20"/>
        </w:rPr>
        <w:t xml:space="preserve">, wykład z prezentacją multimedialną, metody kształcenia na odległość  </w:t>
      </w:r>
    </w:p>
    <w:p w:rsidR="00F7701E" w:rsidRDefault="00921A7C">
      <w:pPr>
        <w:spacing w:after="7" w:line="25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</w:t>
      </w:r>
      <w:r>
        <w:rPr>
          <w:rFonts w:ascii="Corbel" w:eastAsia="Corbel" w:hAnsi="Corbel" w:cs="Corbel"/>
          <w:i/>
          <w:sz w:val="20"/>
          <w:u w:val="single" w:color="000000"/>
        </w:rPr>
        <w:t>metoda projektów</w:t>
      </w:r>
      <w:r>
        <w:rPr>
          <w:rFonts w:ascii="Corbel" w:eastAsia="Corbel" w:hAnsi="Corbel" w:cs="Corbel"/>
          <w:i/>
          <w:sz w:val="20"/>
        </w:rPr>
        <w:t xml:space="preserve"> (projekt badaw</w:t>
      </w:r>
      <w:r>
        <w:rPr>
          <w:rFonts w:ascii="Corbel" w:eastAsia="Corbel" w:hAnsi="Corbel" w:cs="Corbel"/>
          <w:i/>
          <w:sz w:val="20"/>
        </w:rPr>
        <w:t xml:space="preserve">czy, wdrożeniowy, </w:t>
      </w:r>
      <w:r>
        <w:rPr>
          <w:rFonts w:ascii="Corbel" w:eastAsia="Corbel" w:hAnsi="Corbel" w:cs="Corbel"/>
          <w:i/>
          <w:sz w:val="20"/>
          <w:u w:val="single" w:color="000000"/>
        </w:rPr>
        <w:t>praktyczny</w:t>
      </w:r>
      <w:r>
        <w:rPr>
          <w:rFonts w:ascii="Corbel" w:eastAsia="Corbel" w:hAnsi="Corbel" w:cs="Corbel"/>
          <w:i/>
          <w:sz w:val="20"/>
        </w:rPr>
        <w:t xml:space="preserve">), </w:t>
      </w:r>
      <w:r>
        <w:rPr>
          <w:rFonts w:ascii="Corbel" w:eastAsia="Corbel" w:hAnsi="Corbel" w:cs="Corbel"/>
          <w:i/>
          <w:sz w:val="20"/>
          <w:u w:val="single" w:color="000000"/>
        </w:rPr>
        <w:t>praca</w:t>
      </w:r>
      <w:r>
        <w:rPr>
          <w:rFonts w:ascii="Corbel" w:eastAsia="Corbel" w:hAnsi="Corbel" w:cs="Corbel"/>
          <w:i/>
          <w:sz w:val="20"/>
        </w:rPr>
        <w:t xml:space="preserve"> </w:t>
      </w:r>
    </w:p>
    <w:p w:rsidR="00F7701E" w:rsidRDefault="00921A7C">
      <w:pPr>
        <w:spacing w:after="7" w:line="250" w:lineRule="auto"/>
        <w:ind w:left="-5" w:right="972" w:hanging="10"/>
      </w:pPr>
      <w:r>
        <w:rPr>
          <w:rFonts w:ascii="Corbel" w:eastAsia="Corbel" w:hAnsi="Corbel" w:cs="Corbel"/>
          <w:i/>
          <w:sz w:val="20"/>
          <w:u w:val="single" w:color="000000"/>
        </w:rPr>
        <w:t>w grupach</w:t>
      </w:r>
      <w:r>
        <w:rPr>
          <w:rFonts w:ascii="Corbel" w:eastAsia="Corbel" w:hAnsi="Corbel" w:cs="Corbel"/>
          <w:i/>
          <w:sz w:val="20"/>
        </w:rPr>
        <w:t xml:space="preserve"> (rozwiązywanie zadań, dyskusja),</w:t>
      </w:r>
      <w:r>
        <w:rPr>
          <w:rFonts w:ascii="Corbel" w:eastAsia="Corbel" w:hAnsi="Corbel" w:cs="Corbel"/>
          <w:i/>
          <w:sz w:val="20"/>
          <w:u w:val="single" w:color="000000"/>
        </w:rPr>
        <w:t>gry dydaktyczne</w:t>
      </w:r>
      <w:r>
        <w:rPr>
          <w:rFonts w:ascii="Corbel" w:eastAsia="Corbel" w:hAnsi="Corbel" w:cs="Corbel"/>
          <w:i/>
          <w:sz w:val="20"/>
        </w:rPr>
        <w:t xml:space="preserve">, metody kształcenia na odległość  Laboratorium: wykonywanie doświadczeń, projektowanie doświadczeń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pStyle w:val="Nagwek3"/>
        <w:ind w:left="-5" w:right="0"/>
      </w:pPr>
      <w:r>
        <w:t xml:space="preserve">4. METODY I KRYTERIA OCENY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pStyle w:val="Nagwek4"/>
        <w:ind w:left="-5" w:right="0"/>
      </w:pPr>
      <w:r>
        <w:t>4.1 Sposoby weryfikacji ef</w:t>
      </w:r>
      <w:r>
        <w:t xml:space="preserve">ektów kształcenia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5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5104"/>
        <w:gridCol w:w="2158"/>
      </w:tblGrid>
      <w:tr w:rsidR="00F7701E">
        <w:trPr>
          <w:trHeight w:val="888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1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F7701E" w:rsidRDefault="00921A7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 w:line="254" w:lineRule="auto"/>
              <w:ind w:left="-1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dydaktycznych  </w:t>
            </w:r>
          </w:p>
          <w:p w:rsidR="00F7701E" w:rsidRDefault="00921A7C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F7701E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1" locked="0" layoutInCell="1" allowOverlap="1">
                      <wp:simplePos x="0" y="0"/>
                      <wp:positionH relativeFrom="column">
                        <wp:posOffset>4572</wp:posOffset>
                      </wp:positionH>
                      <wp:positionV relativeFrom="paragraph">
                        <wp:posOffset>51850</wp:posOffset>
                      </wp:positionV>
                      <wp:extent cx="1704086" cy="7620"/>
                      <wp:effectExtent l="0" t="0" r="0" b="0"/>
                      <wp:wrapNone/>
                      <wp:docPr id="13030" name="Group 130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704086" cy="7620"/>
                                <a:chOff x="0" y="0"/>
                                <a:chExt cx="1704086" cy="7620"/>
                              </a:xfrm>
                            </wpg:grpSpPr>
                            <wps:wsp>
                              <wps:cNvPr id="13777" name="Shape 13777"/>
                              <wps:cNvSpPr/>
                              <wps:spPr>
                                <a:xfrm>
                                  <a:off x="0" y="0"/>
                                  <a:ext cx="1704086" cy="914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704086" h="9144">
                                      <a:moveTo>
                                        <a:pt x="0" y="0"/>
                                      </a:moveTo>
                                      <a:lnTo>
                                        <a:pt x="1704086" y="0"/>
                                      </a:lnTo>
                                      <a:lnTo>
                                        <a:pt x="1704086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0"/>
                                      </a:lnTo>
                                    </a:path>
                                  </a:pathLst>
                                </a:custGeom>
                                <a:ln w="0" cap="flat">
                                  <a:miter lim="127000"/>
                                </a:ln>
                              </wps:spPr>
                              <wps:style>
                                <a:lnRef idx="0">
                                  <a:srgbClr val="000000">
                                    <a:alpha val="0"/>
                                  </a:srgbClr>
                                </a:lnRef>
                                <a:fillRef idx="1">
                                  <a:srgbClr val="000000"/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a="http://schemas.openxmlformats.org/drawingml/2006/main">
                  <w:pict>
                    <v:group id="Group 13030" style="width:134.18pt;height:0.600037pt;position:absolute;z-index:-2147483570;mso-position-horizontal-relative:text;mso-position-horizontal:absolute;margin-left:0.360016pt;mso-position-vertical-relative:text;margin-top:4.0827pt;" coordsize="17040,76">
                      <v:shape id="Shape 13778" style="position:absolute;width:17040;height:91;left:0;top:0;" coordsize="1704086,9144" path="m0,0l1704086,0l1704086,9144l0,9144l0,0">
                        <v:stroke weight="0pt" endcap="flat" joinstyle="miter" miterlimit="10" on="false" color="#000000" opacity="0"/>
                        <v:fill on="true" color="#000000"/>
                      </v:shape>
                    </v:group>
                  </w:pict>
                </mc:Fallback>
              </mc:AlternateContent>
            </w: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SPRAWOZDANIE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PROJEKT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"/>
            </w:pPr>
            <w:r>
              <w:rPr>
                <w:rFonts w:ascii="Corbel" w:eastAsia="Corbel" w:hAnsi="Corbel" w:cs="Corbel"/>
                <w:sz w:val="19"/>
              </w:rPr>
              <w:t>ĆWICZENIA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4"/>
        <w:ind w:left="-5" w:right="0"/>
      </w:pPr>
      <w:r>
        <w:t xml:space="preserve">4.2 Warunki zaliczenia przedmiotu (kryteria oceniania)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2" w:line="264" w:lineRule="auto"/>
        <w:ind w:left="2" w:right="313" w:hanging="10"/>
      </w:pPr>
      <w:r>
        <w:rPr>
          <w:rFonts w:ascii="Arial" w:eastAsia="Arial" w:hAnsi="Arial" w:cs="Arial"/>
          <w:sz w:val="20"/>
        </w:rPr>
        <w:t xml:space="preserve">Metody oceny: aktywne uczestnictwo w zadaniach konwersatoryjnych 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94" w:line="264" w:lineRule="auto"/>
        <w:ind w:left="2" w:right="313" w:hanging="10"/>
      </w:pPr>
      <w:r>
        <w:rPr>
          <w:rFonts w:ascii="Arial" w:eastAsia="Arial" w:hAnsi="Arial" w:cs="Arial"/>
          <w:sz w:val="20"/>
        </w:rPr>
        <w:lastRenderedPageBreak/>
        <w:t xml:space="preserve">- przygotowanie analiz niejednorodnych – </w:t>
      </w:r>
      <w:r>
        <w:rPr>
          <w:rFonts w:ascii="Arial" w:eastAsia="Arial" w:hAnsi="Arial" w:cs="Arial"/>
          <w:sz w:val="20"/>
        </w:rPr>
        <w:t xml:space="preserve">wysokokontekstowych – komunikatów;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417" w:lineRule="auto"/>
        <w:ind w:left="2" w:right="313" w:hanging="10"/>
      </w:pPr>
      <w:r>
        <w:rPr>
          <w:rFonts w:ascii="Arial" w:eastAsia="Arial" w:hAnsi="Arial" w:cs="Arial"/>
          <w:sz w:val="20"/>
        </w:rPr>
        <w:t xml:space="preserve">Zespołowe przygotowanie scenariusza i przedstawienia zdarzenia, a następnie </w:t>
      </w:r>
      <w:proofErr w:type="spellStart"/>
      <w:r>
        <w:rPr>
          <w:rFonts w:ascii="Arial" w:eastAsia="Arial" w:hAnsi="Arial" w:cs="Arial"/>
          <w:sz w:val="20"/>
        </w:rPr>
        <w:t>wpólna</w:t>
      </w:r>
      <w:proofErr w:type="spellEnd"/>
      <w:r>
        <w:rPr>
          <w:rFonts w:ascii="Arial" w:eastAsia="Arial" w:hAnsi="Arial" w:cs="Arial"/>
          <w:sz w:val="20"/>
        </w:rPr>
        <w:t xml:space="preserve"> analiza: a) założeń scenariusza; b)  wykonania z uwagi na: a) treść komunikatu;  Czytelność i adekwatność przekazu; znajomość wymaganej l</w:t>
      </w:r>
      <w:r>
        <w:rPr>
          <w:rFonts w:ascii="Arial" w:eastAsia="Arial" w:hAnsi="Arial" w:cs="Arial"/>
          <w:sz w:val="20"/>
        </w:rPr>
        <w:t xml:space="preserve">iteratury.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8" w:right="313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/>
        <w:ind w:left="-8" w:right="313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spacing w:after="5" w:line="250" w:lineRule="auto"/>
        <w:ind w:left="-5" w:hanging="10"/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</w:t>
      </w:r>
    </w:p>
    <w:p w:rsidR="00F7701E" w:rsidRDefault="00921A7C">
      <w:pPr>
        <w:pStyle w:val="Nagwek2"/>
        <w:spacing w:after="5" w:line="250" w:lineRule="auto"/>
        <w:ind w:left="-5" w:hanging="10"/>
      </w:pPr>
      <w:r>
        <w:rPr>
          <w:b/>
          <w:u w:val="none"/>
        </w:rPr>
        <w:t xml:space="preserve">EFEKTÓW W GODZINACH ORAZ PUNKTACH ECTS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45" w:type="dxa"/>
          <w:left w:w="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65"/>
        <w:gridCol w:w="4707"/>
      </w:tblGrid>
      <w:tr w:rsidR="00F7701E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701E" w:rsidRDefault="00921A7C">
            <w:pPr>
              <w:spacing w:after="0"/>
              <w:ind w:left="832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4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7701E">
        <w:trPr>
          <w:trHeight w:val="372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 w:line="487" w:lineRule="auto"/>
              <w:ind w:right="1654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20"/>
              </w:rPr>
              <w:t>wyklad</w:t>
            </w:r>
            <w:proofErr w:type="spellEnd"/>
            <w:r>
              <w:rPr>
                <w:rFonts w:ascii="Arial" w:eastAsia="Arial" w:hAnsi="Arial" w:cs="Arial"/>
                <w:b/>
                <w:sz w:val="20"/>
              </w:rPr>
              <w:t xml:space="preserve"> 15; ćwiczenia 30;  wystąpienia 10  przygotowanie scenariusza 10  analiza scenariusza 5  lektury 50  razem 120  </w:t>
            </w:r>
          </w:p>
          <w:p w:rsidR="00F7701E" w:rsidRDefault="00921A7C">
            <w:pPr>
              <w:spacing w:after="218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F7701E" w:rsidRDefault="00921A7C">
            <w:pPr>
              <w:spacing w:after="0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</w:tr>
      <w:tr w:rsidR="00F7701E">
        <w:trPr>
          <w:trHeight w:val="52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F7701E"/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t xml:space="preserve"> </w:t>
            </w:r>
          </w:p>
        </w:tc>
      </w:tr>
      <w:tr w:rsidR="00F7701E">
        <w:trPr>
          <w:trHeight w:val="59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7701E" w:rsidRDefault="00921A7C">
            <w:pPr>
              <w:spacing w:after="0"/>
              <w:ind w:left="10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6 </w:t>
            </w:r>
          </w:p>
        </w:tc>
      </w:tr>
      <w:tr w:rsidR="00F7701E">
        <w:trPr>
          <w:trHeight w:val="1183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 w:line="240" w:lineRule="auto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– praca własna studenta </w:t>
            </w:r>
          </w:p>
          <w:p w:rsidR="00F7701E" w:rsidRDefault="00921A7C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F7701E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3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120 </w:t>
            </w:r>
          </w:p>
        </w:tc>
      </w:tr>
      <w:tr w:rsidR="00F7701E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38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</w:t>
            </w:r>
          </w:p>
          <w:p w:rsidR="00F7701E" w:rsidRDefault="00921A7C">
            <w:pPr>
              <w:spacing w:after="0"/>
              <w:ind w:left="723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ECTS </w:t>
            </w:r>
          </w:p>
        </w:tc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720"/>
            </w:pPr>
            <w:r>
              <w:rPr>
                <w:rFonts w:ascii="Corbel" w:eastAsia="Corbel" w:hAnsi="Corbel" w:cs="Corbel"/>
                <w:sz w:val="24"/>
              </w:rPr>
              <w:t xml:space="preserve">4 </w:t>
            </w:r>
          </w:p>
        </w:tc>
      </w:tr>
    </w:tbl>
    <w:p w:rsidR="00F7701E" w:rsidRDefault="00921A7C">
      <w:pPr>
        <w:spacing w:after="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pStyle w:val="Nagwek3"/>
        <w:ind w:left="-5" w:right="0"/>
      </w:pPr>
      <w:r>
        <w:t xml:space="preserve">6. PRAKTYKI ZAWODOWE W RAMACH PRZEDMIOTU/ MODUŁU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44" w:type="dxa"/>
        <w:tblInd w:w="552" w:type="dxa"/>
        <w:tblCellMar>
          <w:top w:w="54" w:type="dxa"/>
          <w:left w:w="5" w:type="dxa"/>
          <w:bottom w:w="0" w:type="dxa"/>
          <w:right w:w="65" w:type="dxa"/>
        </w:tblCellMar>
        <w:tblLook w:val="04A0" w:firstRow="1" w:lastRow="0" w:firstColumn="1" w:lastColumn="0" w:noHBand="0" w:noVBand="1"/>
      </w:tblPr>
      <w:tblGrid>
        <w:gridCol w:w="3545"/>
        <w:gridCol w:w="3999"/>
      </w:tblGrid>
      <w:tr w:rsidR="00F7701E">
        <w:trPr>
          <w:trHeight w:val="406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  <w:ind w:left="2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pStyle w:val="Nagwek3"/>
        <w:ind w:left="-5" w:right="0"/>
      </w:pPr>
      <w:r>
        <w:lastRenderedPageBreak/>
        <w:t xml:space="preserve">7. LITERATURA 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44" w:type="dxa"/>
        <w:tblInd w:w="552" w:type="dxa"/>
        <w:tblCellMar>
          <w:top w:w="47" w:type="dxa"/>
          <w:left w:w="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44"/>
      </w:tblGrid>
      <w:tr w:rsidR="00F7701E">
        <w:trPr>
          <w:trHeight w:val="8361"/>
        </w:trPr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podstawowa: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7701E" w:rsidRDefault="00921A7C">
            <w:pPr>
              <w:numPr>
                <w:ilvl w:val="0"/>
                <w:numId w:val="2"/>
              </w:numPr>
              <w:spacing w:after="195" w:line="279" w:lineRule="auto"/>
              <w:ind w:hanging="360"/>
            </w:pP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Geertz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C., Interpretacje kultur. Wybrane eseje</w:t>
            </w:r>
            <w:r>
              <w:rPr>
                <w:rFonts w:ascii="Arial" w:eastAsia="Arial" w:hAnsi="Arial" w:cs="Arial"/>
                <w:sz w:val="20"/>
              </w:rPr>
              <w:t xml:space="preserve">, cz. I, s. 17 – </w:t>
            </w:r>
            <w:r>
              <w:rPr>
                <w:rFonts w:ascii="Arial" w:eastAsia="Arial" w:hAnsi="Arial" w:cs="Arial"/>
                <w:sz w:val="20"/>
              </w:rPr>
              <w:t xml:space="preserve">48; cz. II, r. 1; cz. III, r. 5; cz. IV, r. 8. </w:t>
            </w:r>
          </w:p>
          <w:p w:rsidR="00F7701E" w:rsidRDefault="00921A7C">
            <w:pPr>
              <w:numPr>
                <w:ilvl w:val="0"/>
                <w:numId w:val="2"/>
              </w:numPr>
              <w:spacing w:after="218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Geertz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C.,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Zastane światło. </w:t>
            </w:r>
          </w:p>
          <w:p w:rsidR="00F7701E" w:rsidRDefault="00921A7C">
            <w:pPr>
              <w:numPr>
                <w:ilvl w:val="0"/>
                <w:numId w:val="2"/>
              </w:numPr>
              <w:spacing w:after="2" w:line="485" w:lineRule="auto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O założeniach interpretacji antropologicznej 4. </w:t>
            </w:r>
            <w:r>
              <w:rPr>
                <w:rFonts w:ascii="Arial" w:eastAsia="Arial" w:hAnsi="Arial" w:cs="Arial"/>
                <w:sz w:val="20"/>
              </w:rPr>
              <w:t xml:space="preserve">Buchowski 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Zrozumieć innego. Antropologia racjonalności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8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Goffmann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  Człowiek w teatrze życia codziennego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6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Goffmann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E., </w:t>
            </w:r>
            <w:r>
              <w:rPr>
                <w:rFonts w:ascii="Arial" w:eastAsia="Arial" w:hAnsi="Arial" w:cs="Arial"/>
                <w:i/>
                <w:sz w:val="20"/>
              </w:rPr>
              <w:t>Piętno. Esej o zranionej tożsamości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8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Gray J.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Słomiane psy.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6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Winkin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Y.,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Antropologia komunikacji: od teorii do badań terenowych.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9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Berger P.L.,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Luckmann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Th., </w:t>
            </w:r>
            <w:r>
              <w:rPr>
                <w:rFonts w:ascii="Arial" w:eastAsia="Arial" w:hAnsi="Arial" w:cs="Arial"/>
                <w:i/>
                <w:sz w:val="20"/>
              </w:rPr>
              <w:t>Społeczne tworzenie rzeczywistości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02" w:line="277" w:lineRule="auto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Turner V., Bruner E.M.,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Antropologia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doświadczedn</w:t>
            </w:r>
            <w:r>
              <w:rPr>
                <w:rFonts w:ascii="Arial" w:eastAsia="Arial" w:hAnsi="Arial" w:cs="Arial"/>
                <w:i/>
                <w:sz w:val="20"/>
              </w:rPr>
              <w:t>ia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z epilogiem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Clifforda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Geertza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6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Tokarska –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Bakir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J., </w:t>
            </w:r>
            <w:r>
              <w:rPr>
                <w:rFonts w:ascii="Arial" w:eastAsia="Arial" w:hAnsi="Arial" w:cs="Arial"/>
                <w:i/>
                <w:sz w:val="20"/>
              </w:rPr>
              <w:t>Rzeczy mgliste</w:t>
            </w:r>
            <w:r>
              <w:rPr>
                <w:rFonts w:ascii="Arial" w:eastAsia="Arial" w:hAnsi="Arial" w:cs="Arial"/>
                <w:sz w:val="20"/>
              </w:rPr>
              <w:t xml:space="preserve">, s. 95 – 115; 168 – 190; 210 – 216.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8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Jahoda G., </w:t>
            </w:r>
            <w:r>
              <w:rPr>
                <w:rFonts w:ascii="Arial" w:eastAsia="Arial" w:hAnsi="Arial" w:cs="Arial"/>
                <w:i/>
                <w:sz w:val="20"/>
              </w:rPr>
              <w:t>Psychologia przesądu</w:t>
            </w:r>
            <w:r>
              <w:rPr>
                <w:rFonts w:ascii="Arial" w:eastAsia="Arial" w:hAnsi="Arial" w:cs="Arial"/>
                <w:sz w:val="20"/>
              </w:rPr>
              <w:t xml:space="preserve">, r. IV, r. VI – X.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6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Xxxxx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</w:t>
            </w:r>
            <w:r>
              <w:rPr>
                <w:rFonts w:ascii="Arial" w:eastAsia="Arial" w:hAnsi="Arial" w:cs="Arial"/>
                <w:i/>
                <w:sz w:val="20"/>
              </w:rPr>
              <w:t>Psychologia plotki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218"/>
              <w:ind w:hanging="360"/>
            </w:pPr>
            <w:r>
              <w:rPr>
                <w:rFonts w:ascii="Arial" w:eastAsia="Arial" w:hAnsi="Arial" w:cs="Arial"/>
                <w:sz w:val="20"/>
              </w:rPr>
              <w:t xml:space="preserve">Eco U., </w:t>
            </w:r>
            <w:r>
              <w:rPr>
                <w:rFonts w:ascii="Arial" w:eastAsia="Arial" w:hAnsi="Arial" w:cs="Arial"/>
                <w:i/>
                <w:sz w:val="20"/>
              </w:rPr>
              <w:t xml:space="preserve">Semiotyka życia codziennego. </w:t>
            </w:r>
          </w:p>
          <w:p w:rsidR="00F7701E" w:rsidRDefault="00921A7C">
            <w:pPr>
              <w:numPr>
                <w:ilvl w:val="0"/>
                <w:numId w:val="3"/>
              </w:numPr>
              <w:spacing w:after="0"/>
              <w:ind w:hanging="360"/>
            </w:pPr>
            <w:proofErr w:type="spellStart"/>
            <w:r>
              <w:rPr>
                <w:rFonts w:ascii="Arial" w:eastAsia="Arial" w:hAnsi="Arial" w:cs="Arial"/>
                <w:sz w:val="20"/>
              </w:rPr>
              <w:t>Žižek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S., </w:t>
            </w:r>
            <w:r>
              <w:rPr>
                <w:rFonts w:ascii="Arial" w:eastAsia="Arial" w:hAnsi="Arial" w:cs="Arial"/>
                <w:i/>
                <w:sz w:val="20"/>
              </w:rPr>
              <w:t>Cztery dyskursy, czt</w:t>
            </w:r>
            <w:r>
              <w:rPr>
                <w:rFonts w:ascii="Arial" w:eastAsia="Arial" w:hAnsi="Arial" w:cs="Arial"/>
                <w:i/>
                <w:sz w:val="20"/>
              </w:rPr>
              <w:t xml:space="preserve">ery podmioty </w:t>
            </w:r>
            <w:r>
              <w:rPr>
                <w:rFonts w:ascii="Arial" w:eastAsia="Arial" w:hAnsi="Arial" w:cs="Arial"/>
                <w:sz w:val="20"/>
              </w:rPr>
              <w:t xml:space="preserve">(w:)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Żiżek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, Przewodnik “Krytyki Politycznej”. </w:t>
            </w:r>
          </w:p>
        </w:tc>
      </w:tr>
      <w:tr w:rsidR="00F7701E">
        <w:trPr>
          <w:trHeight w:val="569"/>
        </w:trPr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60"/>
              <w:ind w:left="360"/>
            </w:pPr>
            <w:r>
              <w:rPr>
                <w:rFonts w:ascii="Arial" w:eastAsia="Arial" w:hAnsi="Arial" w:cs="Arial"/>
                <w:sz w:val="20"/>
              </w:rPr>
              <w:t xml:space="preserve">16. </w:t>
            </w:r>
            <w:proofErr w:type="spellStart"/>
            <w:r>
              <w:rPr>
                <w:rFonts w:ascii="Arial" w:eastAsia="Arial" w:hAnsi="Arial" w:cs="Arial"/>
                <w:i/>
                <w:sz w:val="20"/>
              </w:rPr>
              <w:t>Żiżek</w:t>
            </w:r>
            <w:proofErr w:type="spellEnd"/>
            <w:r>
              <w:rPr>
                <w:rFonts w:ascii="Arial" w:eastAsia="Arial" w:hAnsi="Arial" w:cs="Arial"/>
                <w:i/>
                <w:sz w:val="20"/>
              </w:rPr>
              <w:t xml:space="preserve"> S., Przekleństwo fantazji, r. I, r. III – IV</w:t>
            </w:r>
            <w:r>
              <w:rPr>
                <w:rFonts w:ascii="Arial" w:eastAsia="Arial" w:hAnsi="Arial" w:cs="Arial"/>
                <w:sz w:val="20"/>
              </w:rPr>
              <w:t xml:space="preserve">.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F7701E">
        <w:trPr>
          <w:trHeight w:val="1184"/>
        </w:trPr>
        <w:tc>
          <w:tcPr>
            <w:tcW w:w="7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7701E" w:rsidRDefault="00921A7C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7701E" w:rsidRDefault="00921A7C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7701E" w:rsidRDefault="00921A7C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F7701E" w:rsidRDefault="00921A7C">
      <w:pPr>
        <w:spacing w:after="12" w:line="250" w:lineRule="auto"/>
        <w:ind w:left="-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sectPr w:rsidR="00F7701E">
      <w:pgSz w:w="11906" w:h="16838"/>
      <w:pgMar w:top="1138" w:right="1042" w:bottom="1198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D45A9A"/>
    <w:multiLevelType w:val="hybridMultilevel"/>
    <w:tmpl w:val="367211D2"/>
    <w:lvl w:ilvl="0" w:tplc="F9B05966">
      <w:start w:val="1"/>
      <w:numFmt w:val="upperLetter"/>
      <w:lvlText w:val="%1."/>
      <w:lvlJc w:val="left"/>
      <w:pPr>
        <w:ind w:left="10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84F9A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0CAAD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466ADC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4E4B02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723C8E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EE582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AC626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A86A4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EB12F5"/>
    <w:multiLevelType w:val="hybridMultilevel"/>
    <w:tmpl w:val="08FC2E44"/>
    <w:lvl w:ilvl="0" w:tplc="3A66C99E">
      <w:start w:val="5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F0EE34">
      <w:start w:val="1"/>
      <w:numFmt w:val="lowerLetter"/>
      <w:lvlText w:val="%2"/>
      <w:lvlJc w:val="left"/>
      <w:pPr>
        <w:ind w:left="1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5C9250">
      <w:start w:val="1"/>
      <w:numFmt w:val="lowerRoman"/>
      <w:lvlText w:val="%3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F34CF36">
      <w:start w:val="1"/>
      <w:numFmt w:val="decimal"/>
      <w:lvlText w:val="%4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027E2A">
      <w:start w:val="1"/>
      <w:numFmt w:val="lowerLetter"/>
      <w:lvlText w:val="%5"/>
      <w:lvlJc w:val="left"/>
      <w:pPr>
        <w:ind w:left="3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66526C">
      <w:start w:val="1"/>
      <w:numFmt w:val="lowerRoman"/>
      <w:lvlText w:val="%6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BDAE3A4">
      <w:start w:val="1"/>
      <w:numFmt w:val="decimal"/>
      <w:lvlText w:val="%7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5CD544">
      <w:start w:val="1"/>
      <w:numFmt w:val="lowerLetter"/>
      <w:lvlText w:val="%8"/>
      <w:lvlJc w:val="left"/>
      <w:pPr>
        <w:ind w:left="5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712234A">
      <w:start w:val="1"/>
      <w:numFmt w:val="lowerRoman"/>
      <w:lvlText w:val="%9"/>
      <w:lvlJc w:val="left"/>
      <w:pPr>
        <w:ind w:left="6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8624F1"/>
    <w:multiLevelType w:val="hybridMultilevel"/>
    <w:tmpl w:val="D5245B02"/>
    <w:lvl w:ilvl="0" w:tplc="B00419E4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5F65040">
      <w:start w:val="1"/>
      <w:numFmt w:val="lowerLetter"/>
      <w:lvlText w:val="%2"/>
      <w:lvlJc w:val="left"/>
      <w:pPr>
        <w:ind w:left="14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C507DFA">
      <w:start w:val="1"/>
      <w:numFmt w:val="lowerRoman"/>
      <w:lvlText w:val="%3"/>
      <w:lvlJc w:val="left"/>
      <w:pPr>
        <w:ind w:left="21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1AA23C">
      <w:start w:val="1"/>
      <w:numFmt w:val="decimal"/>
      <w:lvlText w:val="%4"/>
      <w:lvlJc w:val="left"/>
      <w:pPr>
        <w:ind w:left="28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C20A582">
      <w:start w:val="1"/>
      <w:numFmt w:val="lowerLetter"/>
      <w:lvlText w:val="%5"/>
      <w:lvlJc w:val="left"/>
      <w:pPr>
        <w:ind w:left="36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922ABD4">
      <w:start w:val="1"/>
      <w:numFmt w:val="lowerRoman"/>
      <w:lvlText w:val="%6"/>
      <w:lvlJc w:val="left"/>
      <w:pPr>
        <w:ind w:left="43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8AACC42">
      <w:start w:val="1"/>
      <w:numFmt w:val="decimal"/>
      <w:lvlText w:val="%7"/>
      <w:lvlJc w:val="left"/>
      <w:pPr>
        <w:ind w:left="5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D8A39C0">
      <w:start w:val="1"/>
      <w:numFmt w:val="lowerLetter"/>
      <w:lvlText w:val="%8"/>
      <w:lvlJc w:val="left"/>
      <w:pPr>
        <w:ind w:left="5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D085084">
      <w:start w:val="1"/>
      <w:numFmt w:val="lowerRoman"/>
      <w:lvlText w:val="%9"/>
      <w:lvlJc w:val="left"/>
      <w:pPr>
        <w:ind w:left="6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01E"/>
    <w:rsid w:val="00921A7C"/>
    <w:rsid w:val="00D2693E"/>
    <w:rsid w:val="00F7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26B7F"/>
  <w15:docId w15:val="{C19F88BC-84BF-450A-AAB3-E8F12C0E0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"/>
      <w:outlineLvl w:val="1"/>
    </w:pPr>
    <w:rPr>
      <w:rFonts w:ascii="Corbel" w:eastAsia="Corbel" w:hAnsi="Corbel" w:cs="Corbel"/>
      <w:color w:val="000000"/>
      <w:sz w:val="24"/>
      <w:u w:val="single" w:color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95" w:hanging="10"/>
      <w:outlineLvl w:val="2"/>
    </w:pPr>
    <w:rPr>
      <w:rFonts w:ascii="Corbel" w:eastAsia="Corbel" w:hAnsi="Corbel" w:cs="Corbel"/>
      <w:b/>
      <w:color w:val="000000"/>
      <w:sz w:val="24"/>
    </w:rPr>
  </w:style>
  <w:style w:type="paragraph" w:styleId="Nagwek4">
    <w:name w:val="heading 4"/>
    <w:next w:val="Normalny"/>
    <w:link w:val="Nagwek4Znak"/>
    <w:uiPriority w:val="9"/>
    <w:unhideWhenUsed/>
    <w:qFormat/>
    <w:pPr>
      <w:keepNext/>
      <w:keepLines/>
      <w:spacing w:after="5" w:line="250" w:lineRule="auto"/>
      <w:ind w:left="10" w:right="95" w:hanging="10"/>
      <w:outlineLvl w:val="3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color w:val="000000"/>
      <w:sz w:val="24"/>
      <w:u w:val="single" w:color="000000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character" w:customStyle="1" w:styleId="Nagwek4Znak">
    <w:name w:val="Nagłówek 4 Znak"/>
    <w:link w:val="Nagwek4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1154</Words>
  <Characters>6927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Użytkownik systemu Windows</cp:lastModifiedBy>
  <cp:revision>3</cp:revision>
  <dcterms:created xsi:type="dcterms:W3CDTF">2024-08-09T08:45:00Z</dcterms:created>
  <dcterms:modified xsi:type="dcterms:W3CDTF">2024-08-09T08:45:00Z</dcterms:modified>
</cp:coreProperties>
</file>